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pStyle w:val="4"/>
        <w:ind w:firstLine="723"/>
        <w:jc w:val="center"/>
        <w:rPr>
          <w:rFonts w:hint="eastAsia" w:ascii="方正小标宋_GBK" w:hAnsi="方正小标宋_GBK" w:eastAsia="方正小标宋_GBK" w:cs="方正小标宋_GBK"/>
          <w:b w:val="0"/>
          <w:bCs w:val="0"/>
          <w:color w:val="auto"/>
          <w:sz w:val="36"/>
          <w:szCs w:val="36"/>
        </w:rPr>
      </w:pPr>
      <w:bookmarkStart w:id="0" w:name="_GoBack"/>
      <w:r>
        <w:rPr>
          <w:rFonts w:hint="eastAsia" w:ascii="方正小标宋_GBK" w:hAnsi="方正小标宋_GBK" w:eastAsia="方正小标宋_GBK" w:cs="方正小标宋_GBK"/>
          <w:b w:val="0"/>
          <w:bCs w:val="0"/>
          <w:color w:val="auto"/>
          <w:sz w:val="36"/>
          <w:szCs w:val="36"/>
        </w:rPr>
        <w:t>202</w:t>
      </w:r>
      <w:r>
        <w:rPr>
          <w:rFonts w:hint="eastAsia" w:ascii="方正小标宋_GBK" w:hAnsi="方正小标宋_GBK" w:eastAsia="方正小标宋_GBK" w:cs="方正小标宋_GBK"/>
          <w:b w:val="0"/>
          <w:bCs w:val="0"/>
          <w:color w:val="auto"/>
          <w:sz w:val="36"/>
          <w:szCs w:val="36"/>
          <w:lang w:val="en-US" w:eastAsia="zh-CN"/>
        </w:rPr>
        <w:t>5</w:t>
      </w:r>
      <w:r>
        <w:rPr>
          <w:rFonts w:hint="eastAsia" w:ascii="方正小标宋_GBK" w:hAnsi="方正小标宋_GBK" w:eastAsia="方正小标宋_GBK" w:cs="方正小标宋_GBK"/>
          <w:b w:val="0"/>
          <w:bCs w:val="0"/>
          <w:color w:val="auto"/>
          <w:sz w:val="36"/>
          <w:szCs w:val="36"/>
        </w:rPr>
        <w:t>年泉州市社会科学</w:t>
      </w:r>
      <w:r>
        <w:rPr>
          <w:rFonts w:hint="eastAsia" w:ascii="方正小标宋_GBK" w:hAnsi="方正小标宋_GBK" w:eastAsia="方正小标宋_GBK" w:cs="方正小标宋_GBK"/>
          <w:b w:val="0"/>
          <w:bCs w:val="0"/>
          <w:color w:val="auto"/>
          <w:sz w:val="36"/>
          <w:szCs w:val="36"/>
          <w:lang w:val="en-US" w:eastAsia="zh-CN"/>
        </w:rPr>
        <w:t>规划项目</w:t>
      </w:r>
      <w:r>
        <w:rPr>
          <w:rFonts w:hint="eastAsia" w:ascii="方正小标宋_GBK" w:hAnsi="方正小标宋_GBK" w:eastAsia="方正小标宋_GBK" w:cs="方正小标宋_GBK"/>
          <w:b w:val="0"/>
          <w:bCs w:val="0"/>
          <w:color w:val="auto"/>
          <w:sz w:val="36"/>
          <w:szCs w:val="36"/>
        </w:rPr>
        <w:t>“</w:t>
      </w:r>
      <w:r>
        <w:rPr>
          <w:rFonts w:hint="eastAsia" w:ascii="方正小标宋_GBK" w:hAnsi="方正小标宋_GBK" w:eastAsia="方正小标宋_GBK" w:cs="方正小标宋_GBK"/>
          <w:b w:val="0"/>
          <w:bCs w:val="0"/>
          <w:color w:val="auto"/>
          <w:sz w:val="36"/>
          <w:szCs w:val="36"/>
          <w:lang w:val="en-US" w:eastAsia="zh-CN"/>
        </w:rPr>
        <w:t>特殊教育</w:t>
      </w:r>
      <w:r>
        <w:rPr>
          <w:rFonts w:hint="eastAsia" w:ascii="方正小标宋_GBK" w:hAnsi="方正小标宋_GBK" w:eastAsia="方正小标宋_GBK" w:cs="方正小标宋_GBK"/>
          <w:b w:val="0"/>
          <w:bCs w:val="0"/>
          <w:color w:val="auto"/>
          <w:sz w:val="36"/>
          <w:szCs w:val="36"/>
        </w:rPr>
        <w:t>”专题课题指南</w:t>
      </w:r>
    </w:p>
    <w:bookmarkEnd w:id="0"/>
    <w:tbl>
      <w:tblPr>
        <w:tblStyle w:val="5"/>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618"/>
        <w:gridCol w:w="6113"/>
        <w:gridCol w:w="1731"/>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jc w:val="center"/>
        </w:trPr>
        <w:tc>
          <w:tcPr>
            <w:tcW w:w="978" w:type="dxa"/>
            <w:vAlign w:val="center"/>
          </w:tcPr>
          <w:p>
            <w:pPr>
              <w:spacing w:line="400" w:lineRule="exact"/>
              <w:jc w:val="center"/>
              <w:rPr>
                <w:rFonts w:ascii="宋体" w:hAnsi="宋体"/>
                <w:b/>
                <w:color w:val="auto"/>
                <w:sz w:val="24"/>
              </w:rPr>
            </w:pPr>
            <w:r>
              <w:rPr>
                <w:rFonts w:hint="eastAsia" w:ascii="宋体" w:hAnsi="宋体"/>
                <w:b/>
                <w:color w:val="auto"/>
                <w:sz w:val="24"/>
              </w:rPr>
              <w:t>序号</w:t>
            </w:r>
          </w:p>
        </w:tc>
        <w:tc>
          <w:tcPr>
            <w:tcW w:w="3618" w:type="dxa"/>
            <w:vAlign w:val="center"/>
          </w:tcPr>
          <w:p>
            <w:pPr>
              <w:spacing w:line="400" w:lineRule="exact"/>
              <w:jc w:val="center"/>
              <w:rPr>
                <w:rFonts w:ascii="宋体" w:hAnsi="宋体"/>
                <w:b/>
                <w:color w:val="auto"/>
                <w:sz w:val="24"/>
              </w:rPr>
            </w:pPr>
            <w:r>
              <w:rPr>
                <w:rFonts w:hint="eastAsia" w:ascii="宋体" w:hAnsi="宋体"/>
                <w:b/>
                <w:color w:val="auto"/>
                <w:sz w:val="24"/>
              </w:rPr>
              <w:t>课题名称</w:t>
            </w:r>
          </w:p>
        </w:tc>
        <w:tc>
          <w:tcPr>
            <w:tcW w:w="6113" w:type="dxa"/>
            <w:vAlign w:val="center"/>
          </w:tcPr>
          <w:p>
            <w:pPr>
              <w:spacing w:line="400" w:lineRule="exact"/>
              <w:jc w:val="center"/>
              <w:rPr>
                <w:rFonts w:ascii="宋体" w:hAnsi="宋体"/>
                <w:b/>
                <w:color w:val="auto"/>
                <w:sz w:val="24"/>
              </w:rPr>
            </w:pPr>
            <w:r>
              <w:rPr>
                <w:rFonts w:hint="eastAsia" w:ascii="宋体" w:hAnsi="宋体"/>
                <w:b/>
                <w:color w:val="auto"/>
                <w:sz w:val="24"/>
              </w:rPr>
              <w:t>课题说明</w:t>
            </w:r>
          </w:p>
        </w:tc>
        <w:tc>
          <w:tcPr>
            <w:tcW w:w="1731" w:type="dxa"/>
            <w:vAlign w:val="center"/>
          </w:tcPr>
          <w:p>
            <w:pPr>
              <w:spacing w:line="40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项目类别</w:t>
            </w:r>
          </w:p>
        </w:tc>
        <w:tc>
          <w:tcPr>
            <w:tcW w:w="1731"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拟资助金额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978" w:type="dxa"/>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lang w:val="en-US" w:eastAsia="zh-CN"/>
              </w:rPr>
              <w:t>基于多模态大数据的孤独症儿童数字化评估与精准干预机制研究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lang w:val="en-US" w:eastAsia="zh-CN"/>
              </w:rPr>
              <w:t>基于多模态大数据开发孤独症儿童早期生理特征的多模态评估工具，探究儿童生理及行为等客观指标与主观评价的关联机制，指导孤独症儿童早期精准干预的实施。</w:t>
            </w:r>
          </w:p>
        </w:tc>
        <w:tc>
          <w:tcPr>
            <w:tcW w:w="1731" w:type="dxa"/>
            <w:shd w:val="clear" w:color="auto" w:fill="auto"/>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重点项目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25000</w:t>
            </w:r>
            <w:r>
              <w:rPr>
                <w:rFonts w:hint="eastAsia" w:ascii="仿宋_GB2312" w:hAnsi="宋体" w:eastAsia="仿宋_GB2312"/>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978" w:type="dxa"/>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基于精准神经调控的孤独症儿童医康教协同干预模式探索</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构建</w:t>
            </w:r>
            <w:r>
              <w:rPr>
                <w:rFonts w:hint="eastAsia" w:eastAsia="仿宋_GB2312"/>
                <w:color w:val="auto"/>
                <w:kern w:val="0"/>
                <w:sz w:val="24"/>
                <w:lang w:val="en-US" w:eastAsia="zh-CN"/>
              </w:rPr>
              <w:t>基于</w:t>
            </w:r>
            <w:r>
              <w:rPr>
                <w:rFonts w:hint="eastAsia" w:eastAsia="仿宋_GB2312"/>
                <w:color w:val="auto"/>
                <w:kern w:val="0"/>
                <w:sz w:val="24"/>
              </w:rPr>
              <w:t>脑科学研究证据的</w:t>
            </w:r>
            <w:r>
              <w:rPr>
                <w:rFonts w:hint="eastAsia" w:eastAsia="仿宋_GB2312"/>
                <w:color w:val="auto"/>
                <w:kern w:val="0"/>
                <w:sz w:val="24"/>
                <w:lang w:val="en-US" w:eastAsia="zh-CN"/>
              </w:rPr>
              <w:t>医康教协同</w:t>
            </w:r>
            <w:r>
              <w:rPr>
                <w:rFonts w:hint="eastAsia" w:eastAsia="仿宋_GB2312"/>
                <w:color w:val="auto"/>
                <w:kern w:val="0"/>
                <w:sz w:val="24"/>
              </w:rPr>
              <w:t>干预</w:t>
            </w:r>
            <w:r>
              <w:rPr>
                <w:rFonts w:hint="eastAsia" w:eastAsia="仿宋_GB2312"/>
                <w:color w:val="auto"/>
                <w:kern w:val="0"/>
                <w:sz w:val="24"/>
                <w:lang w:val="en-US" w:eastAsia="zh-CN"/>
              </w:rPr>
              <w:t>模式，并验证干预效果，探索推广的可能性。</w:t>
            </w:r>
          </w:p>
        </w:tc>
        <w:tc>
          <w:tcPr>
            <w:tcW w:w="1731" w:type="dxa"/>
            <w:shd w:val="clear" w:color="auto" w:fill="auto"/>
            <w:vAlign w:val="center"/>
          </w:tcPr>
          <w:p>
            <w:pPr>
              <w:spacing w:line="400" w:lineRule="exac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重点项目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25000</w:t>
            </w:r>
            <w:r>
              <w:rPr>
                <w:rFonts w:hint="eastAsia" w:ascii="仿宋_GB2312" w:hAnsi="宋体" w:eastAsia="仿宋_GB2312"/>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978" w:type="dxa"/>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w:t>
            </w:r>
          </w:p>
        </w:tc>
        <w:tc>
          <w:tcPr>
            <w:tcW w:w="3618" w:type="dxa"/>
            <w:shd w:val="clear" w:color="auto" w:fill="auto"/>
            <w:vAlign w:val="center"/>
          </w:tcPr>
          <w:p>
            <w:pPr>
              <w:spacing w:line="400" w:lineRule="exact"/>
              <w:jc w:val="center"/>
              <w:rPr>
                <w:rFonts w:hint="eastAsia" w:eastAsia="仿宋_GB2312"/>
                <w:color w:val="auto"/>
                <w:kern w:val="0"/>
                <w:sz w:val="24"/>
              </w:rPr>
            </w:pPr>
            <w:r>
              <w:rPr>
                <w:rFonts w:hint="eastAsia" w:eastAsia="仿宋_GB2312"/>
                <w:color w:val="auto"/>
                <w:kern w:val="0"/>
                <w:sz w:val="24"/>
              </w:rPr>
              <w:t>孤独症儿童教育专门人才培养机制研究</w:t>
            </w:r>
          </w:p>
        </w:tc>
        <w:tc>
          <w:tcPr>
            <w:tcW w:w="6113" w:type="dxa"/>
            <w:shd w:val="clear" w:color="auto" w:fill="auto"/>
            <w:vAlign w:val="center"/>
          </w:tcPr>
          <w:p>
            <w:pPr>
              <w:spacing w:line="400" w:lineRule="exact"/>
              <w:jc w:val="both"/>
              <w:rPr>
                <w:rFonts w:hint="eastAsia" w:eastAsia="仿宋_GB2312"/>
                <w:color w:val="auto"/>
                <w:kern w:val="0"/>
                <w:sz w:val="24"/>
              </w:rPr>
            </w:pPr>
            <w:r>
              <w:rPr>
                <w:rFonts w:hint="eastAsia" w:eastAsia="仿宋_GB2312"/>
                <w:color w:val="auto"/>
                <w:kern w:val="0"/>
                <w:sz w:val="24"/>
              </w:rPr>
              <w:t>聚焦当前孤独症教育领域专业人才短缺、能力不均的核心痛点，</w:t>
            </w:r>
            <w:r>
              <w:rPr>
                <w:rFonts w:hint="eastAsia" w:eastAsia="仿宋_GB2312"/>
                <w:color w:val="auto"/>
                <w:kern w:val="0"/>
                <w:sz w:val="24"/>
                <w:lang w:eastAsia="zh-CN"/>
              </w:rPr>
              <w:t>探索</w:t>
            </w:r>
            <w:r>
              <w:rPr>
                <w:rFonts w:hint="eastAsia" w:eastAsia="仿宋_GB2312"/>
                <w:color w:val="auto"/>
                <w:kern w:val="0"/>
                <w:sz w:val="24"/>
              </w:rPr>
              <w:t>系统化培养机制，为孤独症儿童教育领域输送高质量专业人才提供支撑。</w:t>
            </w:r>
          </w:p>
        </w:tc>
        <w:tc>
          <w:tcPr>
            <w:tcW w:w="1731" w:type="dxa"/>
            <w:shd w:val="clear" w:color="auto" w:fill="auto"/>
            <w:vAlign w:val="center"/>
          </w:tcPr>
          <w:p>
            <w:pPr>
              <w:spacing w:line="400" w:lineRule="exac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重点项目</w:t>
            </w:r>
          </w:p>
        </w:tc>
        <w:tc>
          <w:tcPr>
            <w:tcW w:w="1731" w:type="dxa"/>
            <w:shd w:val="clear" w:color="auto" w:fill="auto"/>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78"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4</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lang w:val="en-US" w:eastAsia="zh-CN"/>
              </w:rPr>
              <w:t>面向教育强国的福建省特殊教育改革与发展研究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聚焦核心议题</w:t>
            </w:r>
            <w:r>
              <w:rPr>
                <w:rFonts w:hint="eastAsia" w:eastAsia="仿宋_GB2312"/>
                <w:color w:val="auto"/>
                <w:kern w:val="0"/>
                <w:sz w:val="24"/>
                <w:lang w:eastAsia="zh-CN"/>
              </w:rPr>
              <w:t>，</w:t>
            </w:r>
            <w:r>
              <w:rPr>
                <w:rFonts w:hint="eastAsia" w:eastAsia="仿宋_GB2312"/>
                <w:color w:val="auto"/>
                <w:kern w:val="0"/>
                <w:sz w:val="24"/>
              </w:rPr>
              <w:t>剖析</w:t>
            </w:r>
            <w:r>
              <w:rPr>
                <w:rFonts w:hint="eastAsia" w:eastAsia="仿宋_GB2312"/>
                <w:color w:val="auto"/>
                <w:kern w:val="0"/>
                <w:sz w:val="24"/>
                <w:lang w:eastAsia="zh-CN"/>
              </w:rPr>
              <w:t>存在</w:t>
            </w:r>
            <w:r>
              <w:rPr>
                <w:rFonts w:hint="eastAsia" w:eastAsia="仿宋_GB2312"/>
                <w:color w:val="auto"/>
                <w:kern w:val="0"/>
                <w:sz w:val="24"/>
              </w:rPr>
              <w:t>问题，探索适配地方实际的体系优化路径与实践模式，为构建高质量福建特殊教育体系提供理论与实践支撑。</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78"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5</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highlight w:val="none"/>
                <w:lang w:val="en-US" w:eastAsia="zh-CN" w:bidi="ar-SA"/>
              </w:rPr>
            </w:pPr>
            <w:r>
              <w:rPr>
                <w:rFonts w:hint="eastAsia" w:eastAsia="仿宋_GB2312"/>
                <w:color w:val="auto"/>
                <w:kern w:val="0"/>
                <w:sz w:val="24"/>
                <w:highlight w:val="none"/>
              </w:rPr>
              <w:t>大数据背景下福建省特殊教育质量动态监测机制研究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构建覆盖省</w:t>
            </w:r>
            <w:r>
              <w:rPr>
                <w:rFonts w:hint="eastAsia" w:eastAsia="仿宋_GB2312"/>
                <w:color w:val="auto"/>
                <w:kern w:val="0"/>
                <w:sz w:val="24"/>
                <w:lang w:eastAsia="zh-CN"/>
              </w:rPr>
              <w:t>、</w:t>
            </w:r>
            <w:r>
              <w:rPr>
                <w:rFonts w:hint="eastAsia" w:eastAsia="仿宋_GB2312"/>
                <w:color w:val="auto"/>
                <w:kern w:val="0"/>
                <w:sz w:val="24"/>
              </w:rPr>
              <w:t>市</w:t>
            </w:r>
            <w:r>
              <w:rPr>
                <w:rFonts w:hint="eastAsia" w:eastAsia="仿宋_GB2312"/>
                <w:color w:val="auto"/>
                <w:kern w:val="0"/>
                <w:sz w:val="24"/>
                <w:lang w:eastAsia="zh-CN"/>
              </w:rPr>
              <w:t>、</w:t>
            </w:r>
            <w:r>
              <w:rPr>
                <w:rFonts w:hint="eastAsia" w:eastAsia="仿宋_GB2312"/>
                <w:color w:val="auto"/>
                <w:kern w:val="0"/>
                <w:sz w:val="24"/>
              </w:rPr>
              <w:t>县</w:t>
            </w:r>
            <w:r>
              <w:rPr>
                <w:rFonts w:hint="eastAsia" w:eastAsia="仿宋_GB2312"/>
                <w:color w:val="auto"/>
                <w:kern w:val="0"/>
                <w:sz w:val="24"/>
                <w:lang w:eastAsia="zh-CN"/>
              </w:rPr>
              <w:t>、</w:t>
            </w:r>
            <w:r>
              <w:rPr>
                <w:rFonts w:hint="eastAsia" w:eastAsia="仿宋_GB2312"/>
                <w:color w:val="auto"/>
                <w:kern w:val="0"/>
                <w:sz w:val="24"/>
              </w:rPr>
              <w:t>校四级特殊教育质量动态监测机制，与教学改进、资源配置、政策调整形成闭环</w:t>
            </w:r>
            <w:r>
              <w:rPr>
                <w:rFonts w:hint="eastAsia" w:eastAsia="仿宋_GB2312"/>
                <w:color w:val="auto"/>
                <w:kern w:val="0"/>
                <w:sz w:val="24"/>
                <w:lang w:eastAsia="zh-CN"/>
              </w:rPr>
              <w:t>，</w:t>
            </w:r>
            <w:r>
              <w:rPr>
                <w:rFonts w:hint="eastAsia" w:eastAsia="仿宋_GB2312"/>
                <w:color w:val="auto"/>
                <w:kern w:val="0"/>
                <w:sz w:val="24"/>
              </w:rPr>
              <w:t>推动</w:t>
            </w:r>
            <w:r>
              <w:rPr>
                <w:rFonts w:hint="eastAsia" w:eastAsia="仿宋_GB2312"/>
                <w:color w:val="auto"/>
                <w:kern w:val="0"/>
                <w:sz w:val="24"/>
                <w:lang w:val="en-US" w:eastAsia="zh-CN"/>
              </w:rPr>
              <w:t>我省</w:t>
            </w:r>
            <w:r>
              <w:rPr>
                <w:rFonts w:hint="eastAsia" w:eastAsia="仿宋_GB2312"/>
                <w:color w:val="auto"/>
                <w:kern w:val="0"/>
                <w:sz w:val="24"/>
              </w:rPr>
              <w:t>特殊教育高质量发展</w:t>
            </w:r>
            <w:r>
              <w:rPr>
                <w:rFonts w:hint="eastAsia" w:eastAsia="仿宋_GB2312"/>
                <w:color w:val="auto"/>
                <w:kern w:val="0"/>
                <w:sz w:val="24"/>
                <w:lang w:val="en-US" w:eastAsia="zh-CN"/>
              </w:rPr>
              <w:t>和服务教育强省目标的实现</w:t>
            </w:r>
            <w:r>
              <w:rPr>
                <w:rFonts w:hint="eastAsia" w:eastAsia="仿宋_GB2312"/>
                <w:color w:val="auto"/>
                <w:kern w:val="0"/>
                <w:sz w:val="24"/>
              </w:rPr>
              <w:t>。</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78"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6</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孤独症专门学校设置标准研究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孤独症发病率呈上升趋势，已成为全球性公共卫生问题。当前国内孤独症专门学校在建设和发展中缺乏统一、科学的设置标准，开展孤独症专门学校设置标准研究迫在眉睫。</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78"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7</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lang w:val="en-US" w:eastAsia="zh-CN"/>
              </w:rPr>
              <w:t>特殊教育资源教师能力提升研究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特殊教育资源教师</w:t>
            </w:r>
            <w:r>
              <w:rPr>
                <w:rFonts w:hint="eastAsia" w:eastAsia="仿宋_GB2312"/>
                <w:color w:val="auto"/>
                <w:kern w:val="0"/>
                <w:sz w:val="24"/>
                <w:lang w:eastAsia="zh-CN"/>
              </w:rPr>
              <w:t>的</w:t>
            </w:r>
            <w:r>
              <w:rPr>
                <w:rFonts w:hint="eastAsia" w:eastAsia="仿宋_GB2312"/>
                <w:color w:val="auto"/>
                <w:kern w:val="0"/>
                <w:sz w:val="24"/>
              </w:rPr>
              <w:t>专业能力直接影响</w:t>
            </w:r>
            <w:r>
              <w:rPr>
                <w:rFonts w:hint="eastAsia" w:eastAsia="仿宋_GB2312"/>
                <w:color w:val="auto"/>
                <w:kern w:val="0"/>
                <w:sz w:val="24"/>
                <w:lang w:eastAsia="zh-CN"/>
              </w:rPr>
              <w:t>融合</w:t>
            </w:r>
            <w:r>
              <w:rPr>
                <w:rFonts w:hint="eastAsia" w:eastAsia="仿宋_GB2312"/>
                <w:color w:val="auto"/>
                <w:kern w:val="0"/>
                <w:sz w:val="24"/>
              </w:rPr>
              <w:t>教育</w:t>
            </w:r>
            <w:r>
              <w:rPr>
                <w:rFonts w:hint="eastAsia" w:eastAsia="仿宋_GB2312"/>
                <w:color w:val="auto"/>
                <w:kern w:val="0"/>
                <w:sz w:val="24"/>
                <w:lang w:eastAsia="zh-CN"/>
              </w:rPr>
              <w:t>的</w:t>
            </w:r>
            <w:r>
              <w:rPr>
                <w:rFonts w:hint="eastAsia" w:eastAsia="仿宋_GB2312"/>
                <w:color w:val="auto"/>
                <w:kern w:val="0"/>
                <w:sz w:val="24"/>
              </w:rPr>
              <w:t>质量。</w:t>
            </w:r>
            <w:r>
              <w:rPr>
                <w:rFonts w:hint="eastAsia" w:eastAsia="仿宋_GB2312"/>
                <w:color w:val="auto"/>
                <w:kern w:val="0"/>
                <w:sz w:val="24"/>
                <w:lang w:eastAsia="zh-CN"/>
              </w:rPr>
              <w:t>重视资源教师成长，</w:t>
            </w:r>
            <w:r>
              <w:rPr>
                <w:rFonts w:hint="eastAsia" w:eastAsia="仿宋_GB2312"/>
                <w:color w:val="auto"/>
                <w:kern w:val="0"/>
                <w:sz w:val="24"/>
              </w:rPr>
              <w:t>提升资源教师</w:t>
            </w:r>
            <w:r>
              <w:rPr>
                <w:rFonts w:hint="eastAsia" w:eastAsia="仿宋_GB2312"/>
                <w:color w:val="auto"/>
                <w:kern w:val="0"/>
                <w:sz w:val="24"/>
                <w:lang w:eastAsia="zh-CN"/>
              </w:rPr>
              <w:t>的</w:t>
            </w:r>
            <w:r>
              <w:rPr>
                <w:rFonts w:hint="eastAsia" w:eastAsia="仿宋_GB2312"/>
                <w:color w:val="auto"/>
                <w:kern w:val="0"/>
                <w:sz w:val="24"/>
              </w:rPr>
              <w:t>专业素养</w:t>
            </w:r>
            <w:r>
              <w:rPr>
                <w:rFonts w:hint="eastAsia" w:eastAsia="仿宋_GB2312"/>
                <w:color w:val="auto"/>
                <w:kern w:val="0"/>
                <w:sz w:val="24"/>
                <w:lang w:eastAsia="zh-CN"/>
              </w:rPr>
              <w:t>，是</w:t>
            </w:r>
            <w:r>
              <w:rPr>
                <w:rFonts w:hint="eastAsia" w:eastAsia="仿宋_GB2312"/>
                <w:color w:val="auto"/>
                <w:kern w:val="0"/>
                <w:sz w:val="24"/>
              </w:rPr>
              <w:t>推动融合教育高质量发展的迫切需求</w:t>
            </w:r>
            <w:r>
              <w:rPr>
                <w:rFonts w:hint="eastAsia" w:eastAsia="仿宋_GB2312"/>
                <w:color w:val="auto"/>
                <w:kern w:val="0"/>
                <w:sz w:val="24"/>
                <w:lang w:eastAsia="zh-CN"/>
              </w:rPr>
              <w:t>。</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78" w:type="dxa"/>
            <w:vAlign w:val="center"/>
          </w:tcPr>
          <w:p>
            <w:pPr>
              <w:spacing w:line="40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8</w:t>
            </w:r>
          </w:p>
        </w:tc>
        <w:tc>
          <w:tcPr>
            <w:tcW w:w="3618" w:type="dxa"/>
            <w:vAlign w:val="center"/>
          </w:tcPr>
          <w:p>
            <w:pPr>
              <w:spacing w:line="400" w:lineRule="exac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人工智能赋能孤独症儿童教学的创新实践研究</w:t>
            </w:r>
          </w:p>
        </w:tc>
        <w:tc>
          <w:tcPr>
            <w:tcW w:w="6113" w:type="dxa"/>
            <w:vAlign w:val="center"/>
          </w:tcPr>
          <w:p>
            <w:pPr>
              <w:spacing w:line="400" w:lineRule="exact"/>
              <w:jc w:val="both"/>
              <w:rPr>
                <w:rFonts w:hint="eastAsia" w:eastAsia="仿宋_GB2312"/>
                <w:strike/>
                <w:color w:val="auto"/>
                <w:kern w:val="0"/>
                <w:sz w:val="24"/>
                <w:shd w:val="clear"/>
                <w:lang w:val="en-US" w:eastAsia="zh-CN"/>
              </w:rPr>
            </w:pPr>
            <w:r>
              <w:rPr>
                <w:rFonts w:hint="eastAsia" w:eastAsia="仿宋_GB2312"/>
                <w:strike w:val="0"/>
                <w:dstrike w:val="0"/>
                <w:color w:val="auto"/>
                <w:kern w:val="0"/>
                <w:sz w:val="24"/>
                <w:shd w:val="clear"/>
                <w:lang w:val="en-US" w:eastAsia="zh-CN"/>
              </w:rPr>
              <w:t>聚焦人工智能技术与孤独症儿童教学的深度融合，突破传统教学局限，形成可复制的模式，助力孤独症儿童教学提质增效，推动特殊教育数字化转型。</w:t>
            </w:r>
          </w:p>
        </w:tc>
        <w:tc>
          <w:tcPr>
            <w:tcW w:w="1731" w:type="dxa"/>
            <w:vAlign w:val="center"/>
          </w:tcPr>
          <w:p>
            <w:pPr>
              <w:spacing w:line="40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一般项目</w:t>
            </w:r>
          </w:p>
        </w:tc>
        <w:tc>
          <w:tcPr>
            <w:tcW w:w="1731" w:type="dxa"/>
            <w:vAlign w:val="center"/>
          </w:tcPr>
          <w:p>
            <w:pPr>
              <w:spacing w:line="40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978"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9</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highlight w:val="none"/>
                <w:lang w:val="en-US" w:eastAsia="zh-CN" w:bidi="ar-SA"/>
              </w:rPr>
            </w:pPr>
            <w:r>
              <w:rPr>
                <w:rFonts w:hint="eastAsia" w:eastAsia="仿宋_GB2312"/>
                <w:color w:val="auto"/>
                <w:kern w:val="0"/>
                <w:sz w:val="24"/>
                <w:highlight w:val="none"/>
                <w:lang w:val="en-US" w:eastAsia="zh-CN"/>
              </w:rPr>
              <w:t>以终身发展为目标的特殊学生职业教育课程改革研究</w:t>
            </w:r>
          </w:p>
        </w:tc>
        <w:tc>
          <w:tcPr>
            <w:tcW w:w="6113" w:type="dxa"/>
            <w:shd w:val="clear" w:color="auto" w:fill="auto"/>
            <w:vAlign w:val="center"/>
          </w:tcPr>
          <w:p>
            <w:pPr>
              <w:spacing w:line="400" w:lineRule="exact"/>
              <w:jc w:val="both"/>
              <w:rPr>
                <w:rFonts w:hint="default" w:ascii="Calibri" w:hAnsi="Calibri" w:eastAsia="仿宋_GB2312" w:cs="宋体"/>
                <w:color w:val="auto"/>
                <w:kern w:val="0"/>
                <w:sz w:val="24"/>
                <w:szCs w:val="24"/>
                <w:lang w:val="en-US" w:eastAsia="zh-CN" w:bidi="ar-SA"/>
              </w:rPr>
            </w:pPr>
            <w:r>
              <w:rPr>
                <w:rFonts w:hint="eastAsia" w:eastAsia="仿宋_GB2312"/>
                <w:color w:val="auto"/>
                <w:kern w:val="0"/>
                <w:sz w:val="24"/>
              </w:rPr>
              <w:t>从终身教育的视角深入研究</w:t>
            </w:r>
            <w:r>
              <w:rPr>
                <w:rFonts w:hint="eastAsia" w:eastAsia="仿宋_GB2312"/>
                <w:color w:val="auto"/>
                <w:kern w:val="0"/>
                <w:sz w:val="24"/>
                <w:lang w:val="en-US" w:eastAsia="zh-CN"/>
              </w:rPr>
              <w:t>特殊学生</w:t>
            </w:r>
            <w:r>
              <w:rPr>
                <w:rFonts w:hint="eastAsia" w:eastAsia="仿宋_GB2312"/>
                <w:color w:val="auto"/>
                <w:kern w:val="0"/>
                <w:sz w:val="24"/>
              </w:rPr>
              <w:t>职业教育课程</w:t>
            </w:r>
            <w:r>
              <w:rPr>
                <w:rFonts w:hint="eastAsia" w:eastAsia="仿宋_GB2312"/>
                <w:color w:val="auto"/>
                <w:kern w:val="0"/>
                <w:sz w:val="24"/>
                <w:lang w:eastAsia="zh-CN"/>
              </w:rPr>
              <w:t>，</w:t>
            </w:r>
            <w:r>
              <w:rPr>
                <w:rFonts w:hint="eastAsia" w:eastAsia="仿宋_GB2312"/>
                <w:color w:val="auto"/>
                <w:kern w:val="0"/>
                <w:sz w:val="24"/>
                <w:lang w:val="en-US" w:eastAsia="zh-CN"/>
              </w:rPr>
              <w:t>使特殊学生从中受益，不断</w:t>
            </w:r>
            <w:r>
              <w:rPr>
                <w:rFonts w:hint="eastAsia" w:eastAsia="仿宋_GB2312"/>
                <w:color w:val="auto"/>
                <w:kern w:val="0"/>
                <w:sz w:val="24"/>
              </w:rPr>
              <w:t>提升</w:t>
            </w:r>
            <w:r>
              <w:rPr>
                <w:rFonts w:hint="eastAsia" w:eastAsia="仿宋_GB2312"/>
                <w:color w:val="auto"/>
                <w:kern w:val="0"/>
                <w:sz w:val="24"/>
                <w:lang w:val="en-US" w:eastAsia="zh-CN"/>
              </w:rPr>
              <w:t>其</w:t>
            </w:r>
            <w:r>
              <w:rPr>
                <w:rFonts w:hint="eastAsia" w:eastAsia="仿宋_GB2312"/>
                <w:color w:val="auto"/>
                <w:kern w:val="0"/>
                <w:sz w:val="24"/>
              </w:rPr>
              <w:t>未来独立生活、融入社会和实现可持续就业的综合能力，真正赋能其终身发展，最终促进社会融合与公平。</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w:t>
            </w:r>
            <w:r>
              <w:rPr>
                <w:rFonts w:hint="eastAsia" w:ascii="仿宋_GB2312" w:hAnsi="宋体" w:eastAsia="仿宋_GB2312"/>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8" w:type="dxa"/>
            <w:shd w:val="clear" w:color="auto" w:fill="auto"/>
            <w:vAlign w:val="center"/>
          </w:tcPr>
          <w:p>
            <w:pPr>
              <w:spacing w:line="400" w:lineRule="exact"/>
              <w:jc w:val="center"/>
              <w:rPr>
                <w:rFonts w:hint="default"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10</w:t>
            </w:r>
          </w:p>
        </w:tc>
        <w:tc>
          <w:tcPr>
            <w:tcW w:w="3618" w:type="dxa"/>
            <w:shd w:val="clear" w:color="auto" w:fill="auto"/>
            <w:vAlign w:val="center"/>
          </w:tcPr>
          <w:p>
            <w:pPr>
              <w:spacing w:line="400" w:lineRule="exact"/>
              <w:jc w:val="center"/>
              <w:rPr>
                <w:rFonts w:hint="eastAsia" w:ascii="Calibri" w:hAnsi="Calibri" w:eastAsia="仿宋_GB2312" w:cs="宋体"/>
                <w:color w:val="auto"/>
                <w:kern w:val="0"/>
                <w:sz w:val="24"/>
                <w:szCs w:val="24"/>
                <w:highlight w:val="none"/>
                <w:lang w:val="en-US" w:eastAsia="zh-CN" w:bidi="ar-SA"/>
              </w:rPr>
            </w:pPr>
            <w:r>
              <w:rPr>
                <w:rFonts w:hint="eastAsia" w:eastAsia="仿宋_GB2312"/>
                <w:color w:val="auto"/>
                <w:kern w:val="0"/>
                <w:sz w:val="24"/>
                <w:highlight w:val="none"/>
              </w:rPr>
              <w:t>基于小学超常儿童数学思维特征的拔尖创新人才早期识别与培养路径研究</w:t>
            </w:r>
          </w:p>
        </w:tc>
        <w:tc>
          <w:tcPr>
            <w:tcW w:w="6113" w:type="dxa"/>
            <w:shd w:val="clear" w:color="auto" w:fill="auto"/>
            <w:vAlign w:val="center"/>
          </w:tcPr>
          <w:p>
            <w:pPr>
              <w:spacing w:line="400" w:lineRule="exact"/>
              <w:jc w:val="both"/>
              <w:rPr>
                <w:rFonts w:hint="eastAsia" w:ascii="Calibri" w:hAnsi="Calibri" w:eastAsia="仿宋_GB2312" w:cs="宋体"/>
                <w:color w:val="auto"/>
                <w:kern w:val="0"/>
                <w:sz w:val="24"/>
                <w:szCs w:val="24"/>
                <w:lang w:val="en-US" w:eastAsia="zh-CN" w:bidi="ar-SA"/>
              </w:rPr>
            </w:pPr>
            <w:r>
              <w:rPr>
                <w:rFonts w:hint="eastAsia" w:eastAsia="仿宋_GB2312"/>
                <w:color w:val="auto"/>
                <w:kern w:val="0"/>
                <w:sz w:val="24"/>
              </w:rPr>
              <w:t>聚焦泉州市基础教育发展的重要方向，探索小学阶段超常儿童数学思维的核心特征，并基于此构建一套科学、可操作的拔尖创新人才早期识别与培养体系。为泉州市乃至全省提供精准识别工具和有效培养方案，破解“选苗难、育才慢”的瓶颈问题。</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highlight w:val="none"/>
                <w:lang w:val="en-US" w:eastAsia="zh-CN"/>
              </w:rPr>
              <w:t>一般项目</w:t>
            </w:r>
          </w:p>
        </w:tc>
        <w:tc>
          <w:tcPr>
            <w:tcW w:w="1731" w:type="dxa"/>
            <w:shd w:val="clear" w:color="auto" w:fill="auto"/>
            <w:vAlign w:val="center"/>
          </w:tcPr>
          <w:p>
            <w:pPr>
              <w:spacing w:line="400" w:lineRule="exact"/>
              <w:jc w:val="center"/>
              <w:rPr>
                <w:rFonts w:hint="eastAsia" w:ascii="仿宋_GB2312" w:hAnsi="宋体" w:eastAsia="仿宋_GB2312" w:cs="宋体"/>
                <w:color w:val="auto"/>
                <w:kern w:val="2"/>
                <w:sz w:val="24"/>
                <w:szCs w:val="24"/>
                <w:lang w:val="en-US" w:eastAsia="zh-CN" w:bidi="ar-SA"/>
              </w:rPr>
            </w:pPr>
            <w:r>
              <w:rPr>
                <w:rFonts w:hint="eastAsia" w:ascii="仿宋_GB2312" w:hAnsi="宋体" w:eastAsia="仿宋_GB2312"/>
                <w:color w:val="auto"/>
                <w:sz w:val="24"/>
                <w:lang w:val="en-US" w:eastAsia="zh-CN"/>
              </w:rPr>
              <w:t>8000</w:t>
            </w:r>
            <w:r>
              <w:rPr>
                <w:rFonts w:hint="eastAsia" w:ascii="仿宋_GB2312" w:hAnsi="宋体" w:eastAsia="仿宋_GB2312"/>
                <w:color w:val="auto"/>
                <w:sz w:val="24"/>
              </w:rPr>
              <w:t>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C9149"/>
    <w:rsid w:val="DBDC9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right="-73" w:rightChars="-73" w:firstLine="560" w:firstLineChars="200"/>
    </w:pPr>
    <w:rPr>
      <w:rFonts w:ascii="仿宋_GB2312" w:eastAsia="仿宋_GB2312"/>
      <w:kern w:val="56"/>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2"/>
    <w:basedOn w:val="2"/>
    <w:qFormat/>
    <w:uiPriority w:val="0"/>
    <w:pPr>
      <w:tabs>
        <w:tab w:val="left" w:pos="4606"/>
      </w:tabs>
      <w:spacing w:after="0"/>
      <w:ind w:left="0" w:leftChars="0" w:firstLine="420" w:firstLineChars="200"/>
    </w:pPr>
    <w:rPr>
      <w:rFonts w:ascii="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2025-12-03T17:12:00Z</dcterms:created>
  <dc:creator>casic</dc:creator>
  <cp:lastModifiedBy>casic</cp:lastModifiedBy>
  <dcterms:modified xsi:type="dcterms:W3CDTF">2025-12-03T17:12:52Z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